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DB" w:rsidRDefault="00B461DB" w:rsidP="00B461DB">
      <w:pPr>
        <w:jc w:val="center"/>
        <w:rPr>
          <w:rFonts w:ascii="Segoe UI" w:hAnsi="Segoe UI" w:cs="Segoe UI"/>
          <w:b/>
          <w:bCs/>
          <w:color w:val="0D0D0D"/>
          <w:shd w:val="clear" w:color="auto" w:fill="FFFFFF"/>
        </w:rPr>
      </w:pPr>
      <w:r>
        <w:rPr>
          <w:rFonts w:ascii="Segoe UI" w:hAnsi="Segoe UI" w:cs="Segoe UI"/>
          <w:b/>
          <w:bCs/>
          <w:color w:val="0D0D0D"/>
          <w:shd w:val="clear" w:color="auto" w:fill="FFFFFF"/>
        </w:rPr>
        <w:t xml:space="preserve">Evaluating the </w:t>
      </w:r>
      <w:r w:rsidRPr="00B461DB">
        <w:rPr>
          <w:rFonts w:ascii="Segoe UI" w:hAnsi="Segoe UI" w:cs="Segoe UI"/>
          <w:b/>
          <w:bCs/>
          <w:color w:val="0D0D0D"/>
          <w:shd w:val="clear" w:color="auto" w:fill="FFFFFF"/>
        </w:rPr>
        <w:t>Accuracy in Diagnosis and Ensuring Safe Clinical Application</w:t>
      </w:r>
      <w:r>
        <w:rPr>
          <w:rFonts w:ascii="Segoe UI" w:hAnsi="Segoe UI" w:cs="Segoe UI"/>
          <w:b/>
          <w:bCs/>
          <w:color w:val="0D0D0D"/>
          <w:shd w:val="clear" w:color="auto" w:fill="FFFFFF"/>
        </w:rPr>
        <w:t xml:space="preserve"> of </w:t>
      </w:r>
      <w:r w:rsidRPr="00B461DB">
        <w:rPr>
          <w:rFonts w:ascii="Segoe UI" w:hAnsi="Segoe UI" w:cs="Segoe UI"/>
          <w:b/>
          <w:bCs/>
          <w:color w:val="0D0D0D"/>
          <w:shd w:val="clear" w:color="auto" w:fill="FFFFFF"/>
        </w:rPr>
        <w:t>Deep Learning in Oral Healthcare</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Materials and Methods:</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Data Collection:</w:t>
      </w:r>
      <w:r w:rsidRPr="00B461DB">
        <w:rPr>
          <w:rFonts w:ascii="Segoe UI" w:hAnsi="Segoe UI" w:cs="Segoe UI"/>
          <w:color w:val="0D0D0D"/>
          <w:shd w:val="clear" w:color="auto" w:fill="FFFFFF"/>
        </w:rPr>
        <w:t xml:space="preserve"> A diverse collection of oral health-related images, comprising dental X-rays, intraoral photographs, and histopathological slides, was amassed from various sources, including dental clinics, hospitals, and research databases. These images depicted a broad spectrum of oral health conditions, ranging from caries and periodontal diseases to oral cancers and anomalies. Each image underwent meticulous standardization and preprocessing to ensure uniformity in format, resolution, and quality. Ground truth labels, detailing the presence and severity of oral health conditions, were meticulously annotated by expert dentists or clinicians.</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Model Selection and Training:</w:t>
      </w:r>
      <w:r w:rsidRPr="00B461DB">
        <w:rPr>
          <w:rFonts w:ascii="Segoe UI" w:hAnsi="Segoe UI" w:cs="Segoe UI"/>
          <w:color w:val="0D0D0D"/>
          <w:shd w:val="clear" w:color="auto" w:fill="FFFFFF"/>
        </w:rPr>
        <w:t xml:space="preserve"> An exhaustive evaluation of deep learning architectures, encompassing convolutional neural networks (CNNs), recurrent neural networks (RNNs), and variants like </w:t>
      </w:r>
      <w:proofErr w:type="spellStart"/>
      <w:r w:rsidRPr="00B461DB">
        <w:rPr>
          <w:rFonts w:ascii="Segoe UI" w:hAnsi="Segoe UI" w:cs="Segoe UI"/>
          <w:color w:val="0D0D0D"/>
          <w:shd w:val="clear" w:color="auto" w:fill="FFFFFF"/>
        </w:rPr>
        <w:t>ResNet</w:t>
      </w:r>
      <w:proofErr w:type="spellEnd"/>
      <w:r w:rsidRPr="00B461DB">
        <w:rPr>
          <w:rFonts w:ascii="Segoe UI" w:hAnsi="Segoe UI" w:cs="Segoe UI"/>
          <w:color w:val="0D0D0D"/>
          <w:shd w:val="clear" w:color="auto" w:fill="FFFFFF"/>
        </w:rPr>
        <w:t xml:space="preserve"> and VGG, was undertaken. Model training involved employing transfer learning and fine-tuning methodologies. The dataset was partitioned into training, validation, and test sets to gauge model performance accurately. Rigorous training methodologies were employed to optimize the models' accuracy.</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Validation and Evaluation:</w:t>
      </w:r>
      <w:r w:rsidRPr="00B461DB">
        <w:rPr>
          <w:rFonts w:ascii="Segoe UI" w:hAnsi="Segoe UI" w:cs="Segoe UI"/>
          <w:color w:val="0D0D0D"/>
          <w:shd w:val="clear" w:color="auto" w:fill="FFFFFF"/>
        </w:rPr>
        <w:t xml:space="preserve"> Model validation was conducted meticulously, focusing on accuracy, safety, and clinical applicability. Performance metrics, including accuracy, sensitivity, specificity, and area under the receiver operating characteristic curve (AUC-ROC), were employed to assess model efficacy. Cross-validation and bootstrapping techniques were implemented to ensure the reliability and robustness of the results. Moreover, a standardized set of tests and performance metrics were employed to demonstrate the safety and clinical applicability of the models, fostering reproducibility and comparability across different methodologies.</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Clinical Integration and Application:</w:t>
      </w:r>
      <w:r w:rsidRPr="00B461DB">
        <w:rPr>
          <w:rFonts w:ascii="Segoe UI" w:hAnsi="Segoe UI" w:cs="Segoe UI"/>
          <w:color w:val="0D0D0D"/>
          <w:shd w:val="clear" w:color="auto" w:fill="FFFFFF"/>
        </w:rPr>
        <w:t xml:space="preserve"> The integration of developed deep learning models into clinical workflows underwent thorough scrutiny to ascertain their feasibility, safety, and clinical relevance. Real-world ap</w:t>
      </w:r>
      <w:bookmarkStart w:id="0" w:name="_GoBack"/>
      <w:bookmarkEnd w:id="0"/>
      <w:r w:rsidRPr="00B461DB">
        <w:rPr>
          <w:rFonts w:ascii="Segoe UI" w:hAnsi="Segoe UI" w:cs="Segoe UI"/>
          <w:color w:val="0D0D0D"/>
          <w:shd w:val="clear" w:color="auto" w:fill="FFFFFF"/>
        </w:rPr>
        <w:t>plicability was evaluated by integrating the models into clinical settings to aid dentists and clinicians in oral health diagnosis and treatment planning. Emphasis was placed on demonstrating the safety and reliability of the models in real-world scenarios, ensuring their seamless integration into existing clinical practices.</w:t>
      </w:r>
    </w:p>
    <w:p w:rsidR="00B461DB" w:rsidRPr="00B461DB" w:rsidRDefault="00B461DB" w:rsidP="00B461DB">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Analysis and Interpretation:</w:t>
      </w:r>
      <w:r w:rsidRPr="00B461DB">
        <w:rPr>
          <w:rFonts w:ascii="Segoe UI" w:hAnsi="Segoe UI" w:cs="Segoe UI"/>
          <w:color w:val="0D0D0D"/>
          <w:shd w:val="clear" w:color="auto" w:fill="FFFFFF"/>
        </w:rPr>
        <w:t xml:space="preserve"> Results from validation experiments were meticulously analyzed to discern the accuracy, safety, and clinical applicability of the developed deep learning models. The strengths, weaknesses, and implications of the models were discussed in light of existing literature, guiding future research directions and clinical implementations.</w:t>
      </w:r>
    </w:p>
    <w:p w:rsidR="008D3A88" w:rsidRPr="00497610" w:rsidRDefault="00554554" w:rsidP="00497610">
      <w:pPr>
        <w:jc w:val="both"/>
        <w:rPr>
          <w:rFonts w:ascii="Segoe UI" w:hAnsi="Segoe UI" w:cs="Segoe UI"/>
          <w:color w:val="0D0D0D"/>
          <w:shd w:val="clear" w:color="auto" w:fill="FFFFFF"/>
        </w:rPr>
      </w:pPr>
      <w:r w:rsidRPr="00B461DB">
        <w:rPr>
          <w:rFonts w:ascii="Segoe UI" w:hAnsi="Segoe UI" w:cs="Segoe UI"/>
          <w:b/>
          <w:bCs/>
          <w:color w:val="0D0D0D"/>
          <w:shd w:val="clear" w:color="auto" w:fill="FFFFFF"/>
        </w:rPr>
        <w:t>Ethical Considerations:</w:t>
      </w:r>
      <w:r w:rsidRPr="00B461DB">
        <w:rPr>
          <w:rFonts w:ascii="Segoe UI" w:hAnsi="Segoe UI" w:cs="Segoe UI"/>
          <w:color w:val="0D0D0D"/>
          <w:shd w:val="clear" w:color="auto" w:fill="FFFFFF"/>
        </w:rPr>
        <w:t xml:space="preserve"> The study strictly adhered to ethical guidelines and regulations governing patient data privacy and informed consent. Transparent reporting of biases, limitations, and potential risks associated with deep learning models in oral health care was paramount to maintaining ethical integrity.</w:t>
      </w:r>
    </w:p>
    <w:sectPr w:rsidR="008D3A88" w:rsidRPr="00497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5E"/>
    <w:rsid w:val="00497610"/>
    <w:rsid w:val="00554554"/>
    <w:rsid w:val="008D3A88"/>
    <w:rsid w:val="00B461DB"/>
    <w:rsid w:val="00FF1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9DEF"/>
  <w15:chartTrackingRefBased/>
  <w15:docId w15:val="{2971EDBE-B7C7-4269-A346-1B6C44AE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9646">
      <w:bodyDiv w:val="1"/>
      <w:marLeft w:val="0"/>
      <w:marRight w:val="0"/>
      <w:marTop w:val="0"/>
      <w:marBottom w:val="0"/>
      <w:divBdr>
        <w:top w:val="none" w:sz="0" w:space="0" w:color="auto"/>
        <w:left w:val="none" w:sz="0" w:space="0" w:color="auto"/>
        <w:bottom w:val="none" w:sz="0" w:space="0" w:color="auto"/>
        <w:right w:val="none" w:sz="0" w:space="0" w:color="auto"/>
      </w:divBdr>
    </w:div>
    <w:div w:id="942346304">
      <w:bodyDiv w:val="1"/>
      <w:marLeft w:val="0"/>
      <w:marRight w:val="0"/>
      <w:marTop w:val="0"/>
      <w:marBottom w:val="0"/>
      <w:divBdr>
        <w:top w:val="none" w:sz="0" w:space="0" w:color="auto"/>
        <w:left w:val="none" w:sz="0" w:space="0" w:color="auto"/>
        <w:bottom w:val="none" w:sz="0" w:space="0" w:color="auto"/>
        <w:right w:val="none" w:sz="0" w:space="0" w:color="auto"/>
      </w:divBdr>
    </w:div>
    <w:div w:id="17397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2024-05-06T15:29:00Z</dcterms:created>
  <dcterms:modified xsi:type="dcterms:W3CDTF">2024-05-06T15:38:00Z</dcterms:modified>
</cp:coreProperties>
</file>